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46" w:lineRule="exact"/>
        <w:rPr>
          <w:sz w:val="24"/>
          <w:szCs w:val="24"/>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HAVA ULAŞTIRMA FAKÜLTESİ PİLOTAJ BÖLÜMÜ UÇUŞ DEĞERLENDİRME</w:t>
      </w: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KURULU YÖNERGESİ</w:t>
      </w:r>
    </w:p>
    <w:p>
      <w:pPr>
        <w:spacing w:after="0" w:line="276"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BİRİNCİ BÖLÜM</w:t>
      </w: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Kuruluş, Amaç, Kapsam ve Tanımlar</w:t>
      </w:r>
    </w:p>
    <w:p>
      <w:pPr>
        <w:spacing w:after="0" w:line="27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7" w:lineRule="exact"/>
        <w:rPr>
          <w:sz w:val="24"/>
          <w:szCs w:val="24"/>
          <w:color w:val="auto"/>
        </w:rPr>
      </w:pPr>
    </w:p>
    <w:p>
      <w:pPr>
        <w:jc w:val="both"/>
        <w:ind w:right="6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Yönergenin amacı, Türk Hava Kurumu Üniversitesi Hava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Ulaştırma Fakültesi Pilotaj Bölümü Uçuş Değerlendirme Kurulu’nun amaçlarına, faaliyet alanlarına, yönetimine ve çalışma şekillerine ilişkin usul ve esasları düzenlemektir.</w:t>
      </w:r>
    </w:p>
    <w:p>
      <w:pPr>
        <w:spacing w:after="0" w:line="7"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7" w:lineRule="exact"/>
        <w:rPr>
          <w:sz w:val="24"/>
          <w:szCs w:val="24"/>
          <w:color w:val="auto"/>
        </w:rPr>
      </w:pPr>
    </w:p>
    <w:p>
      <w:pPr>
        <w:jc w:val="both"/>
        <w:ind w:right="6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Türk Hava Kurumu Üniversitesi Hava Ulaştırma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Fakültesi Pilotaj Bölümü Uçuş Değerlendirme Kurulu’nun amaçlarına, faaliyet alanlarına, yönetimine ve çalışma şekillerine ilişkin hükümleri kapsar.</w:t>
      </w:r>
    </w:p>
    <w:p>
      <w:pPr>
        <w:spacing w:after="0" w:line="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7" w:lineRule="exact"/>
        <w:rPr>
          <w:sz w:val="24"/>
          <w:szCs w:val="24"/>
          <w:color w:val="auto"/>
        </w:rPr>
      </w:pPr>
    </w:p>
    <w:p>
      <w:pPr>
        <w:jc w:val="both"/>
        <w:ind w:right="4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13/01/1985 tarihli ve 18634 sayılı Resmî Gazete’de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yayımlanan “Yükseköğretim Kurumları Öğrenci Disiplin Yönetmeliği”, 23 Kasım 2011 tarihli </w:t>
      </w:r>
      <w:r>
        <w:rPr>
          <w:rFonts w:ascii="Times New Roman" w:cs="Times New Roman" w:eastAsia="Times New Roman" w:hAnsi="Times New Roman"/>
          <w:sz w:val="24"/>
          <w:szCs w:val="24"/>
          <w:color w:val="auto"/>
        </w:rPr>
        <w:t xml:space="preserve">ve </w:t>
      </w:r>
      <w:r>
        <w:rPr>
          <w:rFonts w:ascii="Times New Roman" w:cs="Times New Roman" w:eastAsia="Times New Roman" w:hAnsi="Times New Roman"/>
          <w:sz w:val="24"/>
          <w:szCs w:val="24"/>
          <w:color w:val="auto"/>
        </w:rPr>
        <w:t>28121 sayılı Resmî Gazete’de yayımlanan “Türk Hava Kurumu Üniversitesi Hava Ulaştırma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Fakültesi Pilotaj Bölümü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Öğretim ve Sınav Yönetmeliği” ve </w:t>
      </w:r>
      <w:r>
        <w:rPr>
          <w:rFonts w:ascii="Times New Roman" w:cs="Times New Roman" w:eastAsia="Times New Roman" w:hAnsi="Times New Roman"/>
          <w:sz w:val="24"/>
          <w:szCs w:val="24"/>
          <w:color w:val="auto"/>
        </w:rPr>
        <w:t>27 Temmuz 2012 tarihli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ve </w:t>
      </w:r>
      <w:r>
        <w:rPr>
          <w:rFonts w:ascii="Times New Roman" w:cs="Times New Roman" w:eastAsia="Times New Roman" w:hAnsi="Times New Roman"/>
          <w:sz w:val="24"/>
          <w:szCs w:val="24"/>
          <w:color w:val="auto"/>
        </w:rPr>
        <w:t>28366 sayılı Resmî Gazete’de yayımlanan “Türk Hava Kurumu Üniversitesi Havacılık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Uzay Bilimleri Enstitüsü Pilotaj Yüksek Lisansı Programı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ve Sınav Yönetmeliği” hükümlerine dayanılarak hazırlanmıştır.</w:t>
      </w:r>
    </w:p>
    <w:p>
      <w:pPr>
        <w:spacing w:after="0" w:line="9"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Tanımlar</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Yönergede geçen:</w:t>
      </w:r>
    </w:p>
    <w:p>
      <w:pPr>
        <w:spacing w:after="0" w:line="13" w:lineRule="exact"/>
        <w:rPr>
          <w:sz w:val="24"/>
          <w:szCs w:val="24"/>
          <w:color w:val="auto"/>
        </w:rPr>
      </w:pPr>
    </w:p>
    <w:p>
      <w:pPr>
        <w:ind w:left="720" w:right="60" w:hanging="361"/>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Başkan: Türk Hava Kurumu Üniversitesi Hava Ulaştırma Fakültesi Pilotaj Bölümü Uçuş Değerlendirme Kurulu Başkanını</w:t>
      </w: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ind w:left="720" w:right="40" w:hanging="361"/>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Bölüm Başkanlığı: Türk Hava Kurumu Üniversitesi Hava Ulaştırma Fakültesi Pilotaj Bölümü Başkanlığını</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Dekanlık: Türk Hava Kurumu Üniversitesi Hava Ulaştırma Fakültesi Dekanlığını,</w:t>
      </w:r>
    </w:p>
    <w:p>
      <w:pPr>
        <w:spacing w:after="0" w:line="12" w:lineRule="exact"/>
        <w:rPr>
          <w:rFonts w:ascii="Times New Roman" w:cs="Times New Roman" w:eastAsia="Times New Roman" w:hAnsi="Times New Roman"/>
          <w:sz w:val="24"/>
          <w:szCs w:val="24"/>
          <w:color w:val="auto"/>
        </w:rPr>
      </w:pPr>
    </w:p>
    <w:p>
      <w:pPr>
        <w:ind w:left="720" w:right="60" w:hanging="361"/>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Kurul: </w:t>
      </w:r>
      <w:r>
        <w:rPr>
          <w:rFonts w:ascii="Times New Roman" w:cs="Times New Roman" w:eastAsia="Times New Roman" w:hAnsi="Times New Roman"/>
          <w:sz w:val="24"/>
          <w:szCs w:val="24"/>
          <w:color w:val="auto"/>
        </w:rPr>
        <w:t>Türk Hava Kurumu Üniversitesi Hava Ulaştırma Fakültesi Pilotaj Bölümü Uçuş</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Değerlendirme Kurulunu</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Rektör: Türk Hava Kurumu Üniversitesi Rektörünü,</w:t>
      </w:r>
    </w:p>
    <w:p>
      <w:pPr>
        <w:ind w:left="720" w:hanging="361"/>
        <w:spacing w:after="0"/>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Senato: Türk Hava Kurumu Üniversitesi Senatosunu,</w:t>
      </w:r>
    </w:p>
    <w:p>
      <w:pPr>
        <w:spacing w:after="0" w:line="12" w:lineRule="exact"/>
        <w:rPr>
          <w:rFonts w:ascii="Times New Roman" w:cs="Times New Roman" w:eastAsia="Times New Roman" w:hAnsi="Times New Roman"/>
          <w:sz w:val="24"/>
          <w:szCs w:val="24"/>
          <w:color w:val="auto"/>
        </w:rPr>
      </w:pPr>
    </w:p>
    <w:p>
      <w:pPr>
        <w:ind w:left="720" w:right="60" w:hanging="361"/>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Uçuş Değerlendirme Kurulu: Türk Hava Kurumu Üniversitesi Hava Ulaştırma Fakültesi Pilotaj Bölümü Uçuş Değerlendirme Kurulunu,</w:t>
      </w:r>
    </w:p>
    <w:p>
      <w:pPr>
        <w:spacing w:after="0" w:line="2"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Türk Hava Kurumu Üniversitesini,</w:t>
      </w:r>
    </w:p>
    <w:p>
      <w:pPr>
        <w:spacing w:after="0" w:line="12" w:lineRule="exact"/>
        <w:rPr>
          <w:rFonts w:ascii="Times New Roman" w:cs="Times New Roman" w:eastAsia="Times New Roman" w:hAnsi="Times New Roman"/>
          <w:sz w:val="24"/>
          <w:szCs w:val="24"/>
          <w:color w:val="auto"/>
        </w:rPr>
      </w:pPr>
    </w:p>
    <w:p>
      <w:pPr>
        <w:ind w:left="720" w:right="60" w:hanging="361"/>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Üye: Türk Hava Kurumu Üniversitesi Hava Ulaştırma Fakültesi Pilotaj Bölümü Uçuş Değerlendirme Kurulu üyesini</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ifade eder.</w:t>
      </w:r>
    </w:p>
    <w:p>
      <w:pPr>
        <w:spacing w:after="0" w:line="281" w:lineRule="exact"/>
        <w:rPr>
          <w:sz w:val="24"/>
          <w:szCs w:val="24"/>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İKİNCİ BÖLÜM</w:t>
      </w: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Kurulun Amaçları ve Faaliyet Alanları</w:t>
      </w:r>
    </w:p>
    <w:p>
      <w:pPr>
        <w:spacing w:after="0" w:line="27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Kurulun amaçları</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Kurulun amaçları şunlardır:</w:t>
      </w:r>
    </w:p>
    <w:p>
      <w:pPr>
        <w:spacing w:after="0" w:line="13" w:lineRule="exact"/>
        <w:rPr>
          <w:sz w:val="24"/>
          <w:szCs w:val="24"/>
          <w:color w:val="auto"/>
        </w:rPr>
      </w:pPr>
    </w:p>
    <w:p>
      <w:pPr>
        <w:jc w:val="both"/>
        <w:ind w:right="60" w:firstLine="707"/>
        <w:spacing w:after="0" w:line="234" w:lineRule="auto"/>
        <w:tabs>
          <w:tab w:leader="none" w:pos="1003"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 öğrencileri için </w:t>
      </w:r>
      <w:r>
        <w:rPr>
          <w:rFonts w:ascii="Times New Roman" w:cs="Times New Roman" w:eastAsia="Times New Roman" w:hAnsi="Times New Roman"/>
          <w:sz w:val="24"/>
          <w:szCs w:val="24"/>
          <w:color w:val="auto"/>
        </w:rPr>
        <w:t>23</w:t>
      </w:r>
      <w:r>
        <w:rPr>
          <w:rFonts w:ascii="Times New Roman" w:cs="Times New Roman" w:eastAsia="Times New Roman" w:hAnsi="Times New Roman"/>
          <w:sz w:val="24"/>
          <w:szCs w:val="24"/>
          <w:color w:val="auto"/>
        </w:rPr>
        <w:t xml:space="preserve"> Kasım 2011 tarihli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28121 sayılı Resmî Gazete’de yayımlanan “Türk Hava Kurumu Üniversitesi Hava Ulaştırma Fakültesi Pilotaj Bölümü</w:t>
      </w:r>
    </w:p>
    <w:p>
      <w:pPr>
        <w:spacing w:after="0" w:line="105" w:lineRule="exact"/>
        <w:rPr>
          <w:sz w:val="24"/>
          <w:szCs w:val="24"/>
          <w:color w:val="auto"/>
        </w:rPr>
      </w:pPr>
    </w:p>
    <w:tbl>
      <w:tblPr>
        <w:tblLayout w:type="fixed"/>
        <w:tblInd w:w="4500" w:type="dxa"/>
        <w:tblCellMar>
          <w:top w:w="0" w:type="dxa"/>
          <w:left w:w="0" w:type="dxa"/>
          <w:bottom w:w="0" w:type="dxa"/>
          <w:right w:w="0" w:type="dxa"/>
        </w:tblCellMar>
      </w:tblPr>
      <w:tr>
        <w:trPr>
          <w:trHeight w:val="269"/>
        </w:trPr>
        <w:tc>
          <w:tcPr>
            <w:tcW w:w="720" w:type="dxa"/>
            <w:vAlign w:val="bottom"/>
          </w:tcPr>
          <w:p>
            <w:pPr>
              <w:jc w:val="right"/>
              <w:ind w:right="510"/>
              <w:spacing w:after="0"/>
              <w:rPr>
                <w:sz w:val="20"/>
                <w:szCs w:val="20"/>
                <w:color w:val="auto"/>
              </w:rPr>
            </w:pPr>
            <w:r>
              <w:rPr>
                <w:rFonts w:ascii="Calibri" w:cs="Calibri" w:eastAsia="Calibri" w:hAnsi="Calibri"/>
                <w:sz w:val="22"/>
                <w:szCs w:val="22"/>
                <w:color w:val="auto"/>
                <w:w w:val="71"/>
              </w:rPr>
              <w:t>1</w:t>
            </w:r>
          </w:p>
        </w:tc>
        <w:tc>
          <w:tcPr>
            <w:tcW w:w="3900" w:type="dxa"/>
            <w:vAlign w:val="bottom"/>
          </w:tcPr>
          <w:p>
            <w:pPr>
              <w:jc w:val="right"/>
              <w:spacing w:after="0"/>
              <w:rPr>
                <w:sz w:val="20"/>
                <w:szCs w:val="20"/>
                <w:color w:val="auto"/>
              </w:rPr>
            </w:pPr>
            <w:r>
              <w:rPr>
                <w:rFonts w:ascii="Arial" w:cs="Arial" w:eastAsia="Arial" w:hAnsi="Arial"/>
                <w:sz w:val="16"/>
                <w:szCs w:val="16"/>
                <w:color w:val="auto"/>
              </w:rPr>
              <w:t>Senato K.T. / No: 09.10.2012/33</w:t>
            </w:r>
          </w:p>
        </w:tc>
      </w:tr>
      <w:tr>
        <w:trPr>
          <w:trHeight w:val="187"/>
        </w:trPr>
        <w:tc>
          <w:tcPr>
            <w:tcW w:w="720" w:type="dxa"/>
            <w:vAlign w:val="bottom"/>
          </w:tcPr>
          <w:p>
            <w:pPr>
              <w:spacing w:after="0"/>
              <w:rPr>
                <w:sz w:val="16"/>
                <w:szCs w:val="16"/>
                <w:color w:val="auto"/>
              </w:rPr>
            </w:pPr>
          </w:p>
        </w:tc>
        <w:tc>
          <w:tcPr>
            <w:tcW w:w="3900" w:type="dxa"/>
            <w:vAlign w:val="bottom"/>
          </w:tcPr>
          <w:p>
            <w:pPr>
              <w:jc w:val="right"/>
              <w:spacing w:after="0"/>
              <w:rPr>
                <w:sz w:val="20"/>
                <w:szCs w:val="20"/>
                <w:color w:val="auto"/>
              </w:rPr>
            </w:pPr>
            <w:r>
              <w:rPr>
                <w:rFonts w:ascii="Arial" w:cs="Arial" w:eastAsia="Arial" w:hAnsi="Arial"/>
                <w:sz w:val="16"/>
                <w:szCs w:val="16"/>
                <w:color w:val="auto"/>
              </w:rPr>
              <w:t>Revizyon Senato K.T. / No: 07.04.2017/11</w:t>
            </w:r>
          </w:p>
        </w:tc>
      </w:tr>
    </w:tbl>
    <w:p>
      <w:pPr>
        <w:sectPr>
          <w:pgSz w:w="11900" w:h="16838" w:orient="portrait"/>
          <w:cols w:equalWidth="0" w:num="1">
            <w:col w:w="9120"/>
          </w:cols>
          <w:pgMar w:left="1420" w:top="1440" w:right="1366" w:bottom="685" w:gutter="0" w:footer="0" w:header="0"/>
        </w:sectPr>
      </w:pPr>
    </w:p>
    <w:bookmarkStart w:id="1" w:name="page2"/>
    <w:bookmarkEnd w:id="1"/>
    <w:p>
      <w:pPr>
        <w:spacing w:after="0" w:line="77" w:lineRule="exact"/>
        <w:rPr>
          <w:sz w:val="20"/>
          <w:szCs w:val="20"/>
          <w:color w:val="auto"/>
        </w:rPr>
      </w:pPr>
    </w:p>
    <w:p>
      <w:pPr>
        <w:jc w:val="both"/>
        <w:ind w:right="60"/>
        <w:spacing w:after="0" w:line="237" w:lineRule="auto"/>
        <w:rPr>
          <w:sz w:val="20"/>
          <w:szCs w:val="20"/>
          <w:color w:val="auto"/>
        </w:rPr>
      </w:pPr>
      <w:r>
        <w:rPr>
          <w:rFonts w:ascii="Times New Roman" w:cs="Times New Roman" w:eastAsia="Times New Roman" w:hAnsi="Times New Roman"/>
          <w:sz w:val="24"/>
          <w:szCs w:val="24"/>
          <w:color w:val="auto"/>
        </w:rPr>
        <w:t>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Öğretim ve Sınav Yönetmeliği”nin 17nci maddesinde, yüksek lisans öğrencileri için </w:t>
      </w:r>
      <w:r>
        <w:rPr>
          <w:rFonts w:ascii="Times New Roman" w:cs="Times New Roman" w:eastAsia="Times New Roman" w:hAnsi="Times New Roman"/>
          <w:sz w:val="24"/>
          <w:szCs w:val="24"/>
          <w:color w:val="auto"/>
        </w:rPr>
        <w:t>27</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Temmuz 2012 tarihli ve </w:t>
      </w:r>
      <w:r>
        <w:rPr>
          <w:rFonts w:ascii="Times New Roman" w:cs="Times New Roman" w:eastAsia="Times New Roman" w:hAnsi="Times New Roman"/>
          <w:sz w:val="24"/>
          <w:szCs w:val="24"/>
          <w:color w:val="auto"/>
        </w:rPr>
        <w:t>28366 sayılı Resmî Gazete’de yayımlanan “Türk Hava Kurumu</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Üniversitesi Havacılık ve Uzay Bilimleri Enstitüsü Pilotaj Yüksek Lisansı Programı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ve Sınav Yönetmeliği”nin 17nci maddesinde belirtilen uçuş disiplinsizliği ve/veya uçuşa uyumsuzluk hali tespit edilen öğrencinin durumunu değerlendirmek,</w:t>
      </w:r>
    </w:p>
    <w:p>
      <w:pPr>
        <w:spacing w:after="0" w:line="17" w:lineRule="exact"/>
        <w:rPr>
          <w:sz w:val="20"/>
          <w:szCs w:val="20"/>
          <w:color w:val="auto"/>
        </w:rPr>
      </w:pPr>
    </w:p>
    <w:p>
      <w:pPr>
        <w:ind w:right="60" w:firstLine="707"/>
        <w:spacing w:after="0" w:line="234" w:lineRule="auto"/>
        <w:tabs>
          <w:tab w:leader="none" w:pos="984"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Öğrencinin uçuş eğitimini aldığı Uçuş Eğitim Organizasyonu Uçuş Değerlendirme Kurulu’nun öğrenci hakkında aldığı kararları değerlendirmek,</w:t>
      </w:r>
    </w:p>
    <w:p>
      <w:pPr>
        <w:spacing w:after="0" w:line="6"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Görevleri</w:t>
      </w:r>
    </w:p>
    <w:p>
      <w:pPr>
        <w:ind w:left="70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6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Kurulun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görevleri şunlardır:</w:t>
      </w:r>
    </w:p>
    <w:p>
      <w:pPr>
        <w:spacing w:after="0" w:line="13" w:lineRule="exact"/>
        <w:rPr>
          <w:rFonts w:ascii="Times New Roman" w:cs="Times New Roman" w:eastAsia="Times New Roman" w:hAnsi="Times New Roman"/>
          <w:sz w:val="24"/>
          <w:szCs w:val="24"/>
          <w:color w:val="auto"/>
        </w:rPr>
      </w:pPr>
    </w:p>
    <w:p>
      <w:pPr>
        <w:ind w:right="60" w:firstLine="632"/>
        <w:spacing w:after="0" w:line="234"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Uçuş disiplinsizliği ve/veya uçuşa uyumsuzluk hali tespit edilen öğrencinin durum değerlendirmesi sonucunda rapor hazırlamak,</w:t>
      </w:r>
    </w:p>
    <w:p>
      <w:pPr>
        <w:spacing w:after="0" w:line="13" w:lineRule="exact"/>
        <w:rPr>
          <w:rFonts w:ascii="Times New Roman" w:cs="Times New Roman" w:eastAsia="Times New Roman" w:hAnsi="Times New Roman"/>
          <w:sz w:val="24"/>
          <w:szCs w:val="24"/>
          <w:color w:val="auto"/>
        </w:rPr>
      </w:pPr>
    </w:p>
    <w:p>
      <w:pPr>
        <w:ind w:right="60" w:firstLine="632"/>
        <w:spacing w:after="0" w:line="234"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Öğrencinin uçuş eğitimini aldığı Uçuş Eğitim Organizasyonu Uçuş Değerlendirme Kurulu’nun öğrenci hakkında aldığı kararı değerlendirmek,</w:t>
      </w:r>
    </w:p>
    <w:p>
      <w:pPr>
        <w:spacing w:after="0" w:line="14" w:lineRule="exact"/>
        <w:rPr>
          <w:rFonts w:ascii="Times New Roman" w:cs="Times New Roman" w:eastAsia="Times New Roman" w:hAnsi="Times New Roman"/>
          <w:sz w:val="24"/>
          <w:szCs w:val="24"/>
          <w:color w:val="auto"/>
        </w:rPr>
      </w:pPr>
    </w:p>
    <w:p>
      <w:pPr>
        <w:ind w:right="60" w:firstLine="632"/>
        <w:spacing w:after="0" w:line="234"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Uçuş disiplinsizliği ve/veya uçuşa uyumsuzluk durumunun değerlendirilmesi sonucunda öğrencinin uçuşa devamı ya da uçuştan ayrılması kararını vermek</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4"/>
          <w:szCs w:val="24"/>
          <w:color w:val="auto"/>
        </w:rPr>
      </w:pPr>
    </w:p>
    <w:p>
      <w:pPr>
        <w:ind w:left="1000" w:hanging="368"/>
        <w:spacing w:after="0"/>
        <w:tabs>
          <w:tab w:leader="none" w:pos="10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Alınan kararları gereği için Bölüm Başkanlığına, bilgi için Dekanlığa sunmak,</w:t>
      </w:r>
    </w:p>
    <w:p>
      <w:pPr>
        <w:ind w:left="1000" w:hanging="368"/>
        <w:spacing w:after="0"/>
        <w:tabs>
          <w:tab w:leader="none" w:pos="10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Mevzuat ve Rektörlükçe verilecek diğer görevleri yerine getirmek,</w:t>
      </w:r>
    </w:p>
    <w:p>
      <w:pPr>
        <w:spacing w:after="0" w:line="28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Yönetim</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Yönetim organları</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7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Kurulun yönetim organları şunlardır:</w:t>
      </w:r>
    </w:p>
    <w:p>
      <w:pPr>
        <w:spacing w:after="0" w:line="1" w:lineRule="exact"/>
        <w:rPr>
          <w:sz w:val="20"/>
          <w:szCs w:val="20"/>
          <w:color w:val="auto"/>
        </w:rPr>
      </w:pPr>
    </w:p>
    <w:p>
      <w:pPr>
        <w:ind w:left="960" w:hanging="253"/>
        <w:spacing w:after="0"/>
        <w:tabs>
          <w:tab w:leader="none" w:pos="96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Başkan</w:t>
      </w:r>
    </w:p>
    <w:p>
      <w:pPr>
        <w:ind w:left="960" w:hanging="253"/>
        <w:spacing w:after="0"/>
        <w:tabs>
          <w:tab w:leader="none" w:pos="96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w:t>
      </w:r>
    </w:p>
    <w:p>
      <w:pPr>
        <w:spacing w:after="0" w:line="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Başkan</w:t>
      </w:r>
    </w:p>
    <w:p>
      <w:pPr>
        <w:spacing w:after="0" w:line="7" w:lineRule="exact"/>
        <w:rPr>
          <w:sz w:val="20"/>
          <w:szCs w:val="20"/>
          <w:color w:val="auto"/>
        </w:rPr>
      </w:pPr>
    </w:p>
    <w:p>
      <w:pPr>
        <w:jc w:val="both"/>
        <w:ind w:right="4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8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Başkan; Üniversitenin öğretim üyeleri arasından Rektör tarafından üç</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yıllık süre için görevlendirilir. Süresi dolan Başkan tekrar görevlendirilebilir. Başkan</w:t>
      </w:r>
      <w:r>
        <w:rPr>
          <w:rFonts w:ascii="Times New Roman" w:cs="Times New Roman" w:eastAsia="Times New Roman" w:hAnsi="Times New Roman"/>
          <w:sz w:val="24"/>
          <w:szCs w:val="24"/>
          <w:color w:val="auto"/>
        </w:rPr>
        <w:t>, izin,</w:t>
      </w:r>
      <w:r>
        <w:rPr>
          <w:rFonts w:ascii="Times New Roman" w:cs="Times New Roman" w:eastAsia="Times New Roman" w:hAnsi="Times New Roman"/>
          <w:sz w:val="24"/>
          <w:szCs w:val="24"/>
          <w:color w:val="auto"/>
        </w:rPr>
        <w:t xml:space="preserve"> hastalık ve görev</w:t>
      </w:r>
      <w:r>
        <w:rPr>
          <w:rFonts w:ascii="Times New Roman" w:cs="Times New Roman" w:eastAsia="Times New Roman" w:hAnsi="Times New Roman"/>
          <w:sz w:val="24"/>
          <w:szCs w:val="24"/>
          <w:color w:val="auto"/>
        </w:rPr>
        <w:t>lendirme gibi haller sebebiyle</w:t>
      </w:r>
      <w:r>
        <w:rPr>
          <w:rFonts w:ascii="Times New Roman" w:cs="Times New Roman" w:eastAsia="Times New Roman" w:hAnsi="Times New Roman"/>
          <w:sz w:val="24"/>
          <w:szCs w:val="24"/>
          <w:color w:val="auto"/>
        </w:rPr>
        <w:t xml:space="preserve"> kesintisiz altı aydan fazla görevi başında </w:t>
      </w:r>
      <w:r>
        <w:rPr>
          <w:rFonts w:ascii="Times New Roman" w:cs="Times New Roman" w:eastAsia="Times New Roman" w:hAnsi="Times New Roman"/>
          <w:sz w:val="24"/>
          <w:szCs w:val="24"/>
          <w:color w:val="auto"/>
        </w:rPr>
        <w:t>bulunama</w:t>
      </w:r>
      <w:r>
        <w:rPr>
          <w:rFonts w:ascii="Times New Roman" w:cs="Times New Roman" w:eastAsia="Times New Roman" w:hAnsi="Times New Roman"/>
          <w:sz w:val="24"/>
          <w:szCs w:val="24"/>
          <w:color w:val="auto"/>
        </w:rPr>
        <w:t>yacaksa, bir Yönetim Kurulu üyesine vekâlet verir</w:t>
      </w:r>
      <w:r>
        <w:rPr>
          <w:rFonts w:ascii="Times New Roman" w:cs="Times New Roman" w:eastAsia="Times New Roman" w:hAnsi="Times New Roman"/>
          <w:sz w:val="24"/>
          <w:szCs w:val="24"/>
          <w:color w:val="auto"/>
        </w:rPr>
        <w:t>.</w:t>
      </w:r>
    </w:p>
    <w:p>
      <w:pPr>
        <w:spacing w:after="0" w:line="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Başkanın </w:t>
      </w:r>
      <w:r>
        <w:rPr>
          <w:rFonts w:ascii="Times New Roman" w:cs="Times New Roman" w:eastAsia="Times New Roman" w:hAnsi="Times New Roman"/>
          <w:sz w:val="24"/>
          <w:szCs w:val="24"/>
          <w:b w:val="1"/>
          <w:bCs w:val="1"/>
          <w:color w:val="auto"/>
        </w:rPr>
        <w:t>g</w:t>
      </w:r>
      <w:r>
        <w:rPr>
          <w:rFonts w:ascii="Times New Roman" w:cs="Times New Roman" w:eastAsia="Times New Roman" w:hAnsi="Times New Roman"/>
          <w:sz w:val="24"/>
          <w:szCs w:val="24"/>
          <w:b w:val="1"/>
          <w:bCs w:val="1"/>
          <w:color w:val="auto"/>
        </w:rPr>
        <w:t>örevleri</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9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Başkanın görevleri aşağıda verilmiştir:</w:t>
      </w:r>
    </w:p>
    <w:p>
      <w:pPr>
        <w:spacing w:after="0" w:line="1" w:lineRule="exact"/>
        <w:rPr>
          <w:sz w:val="20"/>
          <w:szCs w:val="20"/>
          <w:color w:val="auto"/>
        </w:rPr>
      </w:pPr>
    </w:p>
    <w:p>
      <w:pPr>
        <w:ind w:left="960" w:hanging="253"/>
        <w:spacing w:after="0"/>
        <w:tabs>
          <w:tab w:leader="none" w:pos="9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Kurulu temsil etmek,</w:t>
      </w:r>
    </w:p>
    <w:p>
      <w:pPr>
        <w:ind w:left="960" w:hanging="253"/>
        <w:spacing w:after="0"/>
        <w:tabs>
          <w:tab w:leader="none" w:pos="9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Yönetim </w:t>
      </w:r>
      <w:r>
        <w:rPr>
          <w:rFonts w:ascii="Times New Roman" w:cs="Times New Roman" w:eastAsia="Times New Roman" w:hAnsi="Times New Roman"/>
          <w:sz w:val="24"/>
          <w:szCs w:val="24"/>
          <w:color w:val="auto"/>
        </w:rPr>
        <w:t>Kuruluna</w:t>
      </w:r>
      <w:r>
        <w:rPr>
          <w:rFonts w:ascii="Times New Roman" w:cs="Times New Roman" w:eastAsia="Times New Roman" w:hAnsi="Times New Roman"/>
          <w:sz w:val="24"/>
          <w:szCs w:val="24"/>
          <w:color w:val="auto"/>
        </w:rPr>
        <w:t xml:space="preserve"> başkanlık etmek</w:t>
      </w:r>
      <w:r>
        <w:rPr>
          <w:rFonts w:ascii="Times New Roman" w:cs="Times New Roman" w:eastAsia="Times New Roman" w:hAnsi="Times New Roman"/>
          <w:sz w:val="24"/>
          <w:szCs w:val="24"/>
          <w:color w:val="auto"/>
        </w:rPr>
        <w:t>,</w:t>
      </w:r>
    </w:p>
    <w:p>
      <w:pPr>
        <w:ind w:left="960" w:hanging="253"/>
        <w:spacing w:after="0"/>
        <w:tabs>
          <w:tab w:leader="none" w:pos="9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Kurulun kararlarını uygulamak,</w:t>
      </w: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 Faaliyetlerin gerektirdiği görevlendirmeleri yapmak,</w:t>
      </w:r>
    </w:p>
    <w:p>
      <w:pPr>
        <w:ind w:left="960" w:hanging="253"/>
        <w:spacing w:after="0"/>
        <w:tabs>
          <w:tab w:leader="none" w:pos="9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Faaliyetlerin düzenli yürütülmesi ve </w:t>
      </w:r>
      <w:r>
        <w:rPr>
          <w:rFonts w:ascii="Times New Roman" w:cs="Times New Roman" w:eastAsia="Times New Roman" w:hAnsi="Times New Roman"/>
          <w:sz w:val="24"/>
          <w:szCs w:val="24"/>
          <w:color w:val="auto"/>
        </w:rPr>
        <w:t>denetimi ile ilgili gerekli tedbirleri almak.</w:t>
      </w:r>
    </w:p>
    <w:p>
      <w:pPr>
        <w:spacing w:after="0" w:line="2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Yönetim Kurulu</w:t>
      </w:r>
    </w:p>
    <w:p>
      <w:pPr>
        <w:spacing w:after="0" w:line="7" w:lineRule="exact"/>
        <w:rPr>
          <w:sz w:val="20"/>
          <w:szCs w:val="20"/>
          <w:color w:val="auto"/>
        </w:rPr>
      </w:pPr>
    </w:p>
    <w:p>
      <w:pPr>
        <w:ind w:right="60" w:firstLine="708"/>
        <w:spacing w:after="0" w:line="249" w:lineRule="auto"/>
        <w:rPr>
          <w:sz w:val="20"/>
          <w:szCs w:val="20"/>
          <w:color w:val="auto"/>
        </w:rPr>
      </w:pPr>
      <w:r>
        <w:rPr>
          <w:rFonts w:ascii="Times New Roman" w:cs="Times New Roman" w:eastAsia="Times New Roman" w:hAnsi="Times New Roman"/>
          <w:sz w:val="23"/>
          <w:szCs w:val="23"/>
          <w:b w:val="1"/>
          <w:bCs w:val="1"/>
          <w:color w:val="auto"/>
        </w:rPr>
        <w:t xml:space="preserve">MADDE 10 </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(1)</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Yönetim Kurulu</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Başkan ve Dekanlığın göstereceği adaylar arasından</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Rektör tarafından seçilen üç üyeden oluşur. Yönetim Kurulu ü</w:t>
      </w:r>
      <w:r>
        <w:rPr>
          <w:rFonts w:ascii="Times New Roman" w:cs="Times New Roman" w:eastAsia="Times New Roman" w:hAnsi="Times New Roman"/>
          <w:sz w:val="23"/>
          <w:szCs w:val="23"/>
          <w:color w:val="auto"/>
        </w:rPr>
        <w:t>yelerinin</w:t>
      </w:r>
      <w:r>
        <w:rPr>
          <w:rFonts w:ascii="Times New Roman" w:cs="Times New Roman" w:eastAsia="Times New Roman" w:hAnsi="Times New Roman"/>
          <w:sz w:val="23"/>
          <w:szCs w:val="23"/>
          <w:color w:val="auto"/>
        </w:rPr>
        <w:t xml:space="preserve"> görev süresi üç yıldır.</w:t>
      </w:r>
    </w:p>
    <w:p>
      <w:pPr>
        <w:spacing w:after="0" w:line="3" w:lineRule="exact"/>
        <w:rPr>
          <w:sz w:val="20"/>
          <w:szCs w:val="20"/>
          <w:color w:val="auto"/>
        </w:rPr>
      </w:pPr>
    </w:p>
    <w:p>
      <w:pPr>
        <w:jc w:val="both"/>
        <w:ind w:right="60" w:firstLine="707"/>
        <w:spacing w:after="0" w:line="236" w:lineRule="auto"/>
        <w:tabs>
          <w:tab w:leader="none" w:pos="10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Görevinden ayrılan üyenin yerine Rektör tarafından yeni bir üye görevlendirilir. Süreleri dolan üyeler yeniden görevlendirilebilir. Süresi bitmeden ayrılan veya altı aydan fazla Üniversite dışında görevlendirilen üye yerine yeni bir üye görevlendirilir.</w:t>
      </w:r>
    </w:p>
    <w:p>
      <w:pPr>
        <w:spacing w:after="0" w:line="1" w:lineRule="exact"/>
        <w:rPr>
          <w:rFonts w:ascii="Times New Roman" w:cs="Times New Roman" w:eastAsia="Times New Roman" w:hAnsi="Times New Roman"/>
          <w:sz w:val="24"/>
          <w:szCs w:val="24"/>
          <w:color w:val="auto"/>
        </w:rPr>
      </w:pPr>
    </w:p>
    <w:p>
      <w:pPr>
        <w:ind w:left="1040" w:hanging="333"/>
        <w:spacing w:after="0"/>
        <w:tabs>
          <w:tab w:leader="none" w:pos="10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Başkan, </w:t>
      </w:r>
      <w:r>
        <w:rPr>
          <w:rFonts w:ascii="Times New Roman" w:cs="Times New Roman" w:eastAsia="Times New Roman" w:hAnsi="Times New Roman"/>
          <w:sz w:val="24"/>
          <w:szCs w:val="24"/>
          <w:color w:val="auto"/>
        </w:rPr>
        <w:t>Y</w:t>
      </w:r>
      <w:r>
        <w:rPr>
          <w:rFonts w:ascii="Times New Roman" w:cs="Times New Roman" w:eastAsia="Times New Roman" w:hAnsi="Times New Roman"/>
          <w:sz w:val="24"/>
          <w:szCs w:val="24"/>
          <w:color w:val="auto"/>
        </w:rPr>
        <w:t xml:space="preserve">önetim </w:t>
      </w:r>
      <w:r>
        <w:rPr>
          <w:rFonts w:ascii="Times New Roman" w:cs="Times New Roman" w:eastAsia="Times New Roman" w:hAnsi="Times New Roman"/>
          <w:sz w:val="24"/>
          <w:szCs w:val="24"/>
          <w:color w:val="auto"/>
        </w:rPr>
        <w:t>Kurulunu</w:t>
      </w:r>
      <w:r>
        <w:rPr>
          <w:rFonts w:ascii="Times New Roman" w:cs="Times New Roman" w:eastAsia="Times New Roman" w:hAnsi="Times New Roman"/>
          <w:sz w:val="24"/>
          <w:szCs w:val="24"/>
          <w:color w:val="auto"/>
        </w:rPr>
        <w:t xml:space="preserve"> gerekli hallerde her zaman toplantıya çağırabilir.</w:t>
      </w:r>
    </w:p>
    <w:p>
      <w:pPr>
        <w:spacing w:after="0" w:line="12" w:lineRule="exact"/>
        <w:rPr>
          <w:rFonts w:ascii="Times New Roman" w:cs="Times New Roman" w:eastAsia="Times New Roman" w:hAnsi="Times New Roman"/>
          <w:sz w:val="24"/>
          <w:szCs w:val="24"/>
          <w:color w:val="auto"/>
        </w:rPr>
      </w:pPr>
    </w:p>
    <w:p>
      <w:pPr>
        <w:ind w:right="60" w:firstLine="707"/>
        <w:spacing w:after="0" w:line="234" w:lineRule="auto"/>
        <w:tabs>
          <w:tab w:leader="none" w:pos="105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Yönetim </w:t>
      </w:r>
      <w:r>
        <w:rPr>
          <w:rFonts w:ascii="Times New Roman" w:cs="Times New Roman" w:eastAsia="Times New Roman" w:hAnsi="Times New Roman"/>
          <w:sz w:val="24"/>
          <w:szCs w:val="24"/>
          <w:color w:val="auto"/>
        </w:rPr>
        <w:t>Kurulu</w:t>
      </w:r>
      <w:r>
        <w:rPr>
          <w:rFonts w:ascii="Times New Roman" w:cs="Times New Roman" w:eastAsia="Times New Roman" w:hAnsi="Times New Roman"/>
          <w:sz w:val="24"/>
          <w:szCs w:val="24"/>
          <w:color w:val="auto"/>
        </w:rPr>
        <w:t>, salt çoğunlukla toplanır ve kararlar oy çokluğu ile alınır. Oyların eşitliği halinde Başkanın oyu yönünde çoğunluk sağlanmış kabul edilir.</w:t>
      </w:r>
    </w:p>
    <w:p>
      <w:pPr>
        <w:spacing w:after="0" w:line="6"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Yönetim </w:t>
      </w:r>
      <w:r>
        <w:rPr>
          <w:rFonts w:ascii="Times New Roman" w:cs="Times New Roman" w:eastAsia="Times New Roman" w:hAnsi="Times New Roman"/>
          <w:sz w:val="24"/>
          <w:szCs w:val="24"/>
          <w:b w:val="1"/>
          <w:bCs w:val="1"/>
          <w:color w:val="auto"/>
        </w:rPr>
        <w:t>Kurulun g</w:t>
      </w:r>
      <w:r>
        <w:rPr>
          <w:rFonts w:ascii="Times New Roman" w:cs="Times New Roman" w:eastAsia="Times New Roman" w:hAnsi="Times New Roman"/>
          <w:sz w:val="24"/>
          <w:szCs w:val="24"/>
          <w:b w:val="1"/>
          <w:bCs w:val="1"/>
          <w:color w:val="auto"/>
        </w:rPr>
        <w:t>örevleri</w:t>
      </w:r>
    </w:p>
    <w:p>
      <w:pPr>
        <w:spacing w:after="0" w:line="374" w:lineRule="exact"/>
        <w:rPr>
          <w:sz w:val="20"/>
          <w:szCs w:val="20"/>
          <w:color w:val="auto"/>
        </w:rPr>
      </w:pPr>
    </w:p>
    <w:tbl>
      <w:tblPr>
        <w:tblLayout w:type="fixed"/>
        <w:tblInd w:w="4500" w:type="dxa"/>
        <w:tblCellMar>
          <w:top w:w="0" w:type="dxa"/>
          <w:left w:w="0" w:type="dxa"/>
          <w:bottom w:w="0" w:type="dxa"/>
          <w:right w:w="0" w:type="dxa"/>
        </w:tblCellMar>
      </w:tblPr>
      <w:tr>
        <w:trPr>
          <w:trHeight w:val="269"/>
        </w:trPr>
        <w:tc>
          <w:tcPr>
            <w:tcW w:w="720" w:type="dxa"/>
            <w:vAlign w:val="bottom"/>
          </w:tcPr>
          <w:p>
            <w:pPr>
              <w:jc w:val="right"/>
              <w:ind w:right="510"/>
              <w:spacing w:after="0"/>
              <w:rPr>
                <w:sz w:val="20"/>
                <w:szCs w:val="20"/>
                <w:color w:val="auto"/>
              </w:rPr>
            </w:pPr>
            <w:r>
              <w:rPr>
                <w:rFonts w:ascii="Calibri" w:cs="Calibri" w:eastAsia="Calibri" w:hAnsi="Calibri"/>
                <w:sz w:val="22"/>
                <w:szCs w:val="22"/>
                <w:color w:val="auto"/>
                <w:w w:val="71"/>
              </w:rPr>
              <w:t>2</w:t>
            </w:r>
          </w:p>
        </w:tc>
        <w:tc>
          <w:tcPr>
            <w:tcW w:w="3900" w:type="dxa"/>
            <w:vAlign w:val="bottom"/>
          </w:tcPr>
          <w:p>
            <w:pPr>
              <w:jc w:val="right"/>
              <w:spacing w:after="0"/>
              <w:rPr>
                <w:sz w:val="20"/>
                <w:szCs w:val="20"/>
                <w:color w:val="auto"/>
              </w:rPr>
            </w:pPr>
            <w:r>
              <w:rPr>
                <w:rFonts w:ascii="Arial" w:cs="Arial" w:eastAsia="Arial" w:hAnsi="Arial"/>
                <w:sz w:val="16"/>
                <w:szCs w:val="16"/>
                <w:color w:val="auto"/>
              </w:rPr>
              <w:t>Senato K.T. / No: 09.10.2012/33</w:t>
            </w:r>
          </w:p>
        </w:tc>
      </w:tr>
      <w:tr>
        <w:trPr>
          <w:trHeight w:val="187"/>
        </w:trPr>
        <w:tc>
          <w:tcPr>
            <w:tcW w:w="720" w:type="dxa"/>
            <w:vAlign w:val="bottom"/>
          </w:tcPr>
          <w:p>
            <w:pPr>
              <w:spacing w:after="0"/>
              <w:rPr>
                <w:sz w:val="16"/>
                <w:szCs w:val="16"/>
                <w:color w:val="auto"/>
              </w:rPr>
            </w:pPr>
          </w:p>
        </w:tc>
        <w:tc>
          <w:tcPr>
            <w:tcW w:w="3900" w:type="dxa"/>
            <w:vAlign w:val="bottom"/>
          </w:tcPr>
          <w:p>
            <w:pPr>
              <w:jc w:val="right"/>
              <w:spacing w:after="0"/>
              <w:rPr>
                <w:sz w:val="20"/>
                <w:szCs w:val="20"/>
                <w:color w:val="auto"/>
              </w:rPr>
            </w:pPr>
            <w:r>
              <w:rPr>
                <w:rFonts w:ascii="Arial" w:cs="Arial" w:eastAsia="Arial" w:hAnsi="Arial"/>
                <w:sz w:val="16"/>
                <w:szCs w:val="16"/>
                <w:color w:val="auto"/>
              </w:rPr>
              <w:t>Revizyon Senato K.T. / No: 07.04.2017/11</w:t>
            </w:r>
          </w:p>
        </w:tc>
      </w:tr>
    </w:tbl>
    <w:p>
      <w:pPr>
        <w:sectPr>
          <w:pgSz w:w="11900" w:h="16838" w:orient="portrait"/>
          <w:cols w:equalWidth="0" w:num="1">
            <w:col w:w="9120"/>
          </w:cols>
          <w:pgMar w:left="1420" w:top="1440" w:right="1366" w:bottom="685" w:gutter="0" w:footer="0" w:header="0"/>
        </w:sectPr>
      </w:pPr>
    </w:p>
    <w:bookmarkStart w:id="2" w:name="page3"/>
    <w:bookmarkEnd w:id="2"/>
    <w:p>
      <w:pPr>
        <w:spacing w:after="0" w:line="77" w:lineRule="exact"/>
        <w:rPr>
          <w:sz w:val="20"/>
          <w:szCs w:val="20"/>
          <w:color w:val="auto"/>
        </w:rPr>
      </w:pPr>
    </w:p>
    <w:p>
      <w:pPr>
        <w:ind w:right="6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12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Kurulu</w:t>
      </w:r>
      <w:r>
        <w:rPr>
          <w:rFonts w:ascii="Times New Roman" w:cs="Times New Roman" w:eastAsia="Times New Roman" w:hAnsi="Times New Roman"/>
          <w:sz w:val="24"/>
          <w:szCs w:val="24"/>
          <w:color w:val="auto"/>
        </w:rPr>
        <w:t>, idari faaliyetlerde Başkana yardımcı bir organ olup</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aşağıdaki görevleri yapar:</w:t>
      </w:r>
    </w:p>
    <w:p>
      <w:pPr>
        <w:spacing w:after="0" w:line="2" w:lineRule="exact"/>
        <w:rPr>
          <w:sz w:val="20"/>
          <w:szCs w:val="20"/>
          <w:color w:val="auto"/>
        </w:rPr>
      </w:pPr>
    </w:p>
    <w:p>
      <w:pPr>
        <w:ind w:left="960" w:hanging="253"/>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Yönetim </w:t>
      </w:r>
      <w:r>
        <w:rPr>
          <w:rFonts w:ascii="Times New Roman" w:cs="Times New Roman" w:eastAsia="Times New Roman" w:hAnsi="Times New Roman"/>
          <w:sz w:val="24"/>
          <w:szCs w:val="24"/>
          <w:color w:val="auto"/>
        </w:rPr>
        <w:t>Kurulunun</w:t>
      </w:r>
      <w:r>
        <w:rPr>
          <w:rFonts w:ascii="Times New Roman" w:cs="Times New Roman" w:eastAsia="Times New Roman" w:hAnsi="Times New Roman"/>
          <w:sz w:val="24"/>
          <w:szCs w:val="24"/>
          <w:color w:val="auto"/>
        </w:rPr>
        <w:t xml:space="preserve"> faaliyet alanları ile ilgili konuları görüşmek,</w:t>
      </w:r>
    </w:p>
    <w:p>
      <w:pPr>
        <w:ind w:left="1040" w:hanging="333"/>
        <w:spacing w:after="0"/>
        <w:tabs>
          <w:tab w:leader="none" w:pos="10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ü</w:t>
      </w:r>
      <w:r>
        <w:rPr>
          <w:rFonts w:ascii="Times New Roman" w:cs="Times New Roman" w:eastAsia="Times New Roman" w:hAnsi="Times New Roman"/>
          <w:sz w:val="24"/>
          <w:szCs w:val="24"/>
          <w:color w:val="auto"/>
        </w:rPr>
        <w:t>yelerinin</w:t>
      </w:r>
      <w:r>
        <w:rPr>
          <w:rFonts w:ascii="Times New Roman" w:cs="Times New Roman" w:eastAsia="Times New Roman" w:hAnsi="Times New Roman"/>
          <w:sz w:val="24"/>
          <w:szCs w:val="24"/>
          <w:color w:val="auto"/>
        </w:rPr>
        <w:t xml:space="preserve">  yazılı  veya  sözlü  önerilerini  görüşmek  ve  karara</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bağlamak,</w:t>
      </w:r>
    </w:p>
    <w:p>
      <w:pPr>
        <w:ind w:left="960" w:hanging="253"/>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Faaliyetlerin düzenli yürütülmesi ve denetimi ile ilgili gerekli tedbirleri almak,</w:t>
      </w:r>
    </w:p>
    <w:p>
      <w:pPr>
        <w:spacing w:after="0" w:line="15" w:lineRule="exact"/>
        <w:rPr>
          <w:sz w:val="20"/>
          <w:szCs w:val="20"/>
          <w:color w:val="auto"/>
        </w:rPr>
      </w:pPr>
    </w:p>
    <w:p>
      <w:pPr>
        <w:ind w:right="60" w:firstLine="708"/>
        <w:spacing w:after="0" w:line="264" w:lineRule="auto"/>
        <w:rPr>
          <w:sz w:val="20"/>
          <w:szCs w:val="20"/>
          <w:color w:val="auto"/>
        </w:rPr>
      </w:pPr>
      <w:r>
        <w:rPr>
          <w:rFonts w:ascii="Times New Roman" w:cs="Times New Roman" w:eastAsia="Times New Roman" w:hAnsi="Times New Roman"/>
          <w:sz w:val="24"/>
          <w:szCs w:val="24"/>
          <w:color w:val="auto"/>
        </w:rPr>
        <w:t>ç) Faaliyetler ile ilgili olarak raporu düzenlemek ve Senato’nun onayına sunulmak üzere Dekanlığa iletmek,</w:t>
      </w:r>
    </w:p>
    <w:p>
      <w:pPr>
        <w:spacing w:after="0" w:line="17" w:lineRule="exact"/>
        <w:rPr>
          <w:sz w:val="20"/>
          <w:szCs w:val="20"/>
          <w:color w:val="auto"/>
        </w:rPr>
      </w:pPr>
    </w:p>
    <w:p>
      <w:pPr>
        <w:ind w:left="960" w:hanging="253"/>
        <w:spacing w:after="0"/>
        <w:tabs>
          <w:tab w:leader="none" w:pos="9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Başkanın daveti üzerine gerekli hallerde toplanmak.</w:t>
      </w:r>
    </w:p>
    <w:p>
      <w:pPr>
        <w:spacing w:after="0" w:line="200" w:lineRule="exact"/>
        <w:rPr>
          <w:sz w:val="20"/>
          <w:szCs w:val="20"/>
          <w:color w:val="auto"/>
        </w:rPr>
      </w:pPr>
    </w:p>
    <w:p>
      <w:pPr>
        <w:spacing w:after="0" w:line="39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spacing w:after="0" w:line="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Son Hükümler</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Hüküm bulunmayan haller</w:t>
      </w:r>
    </w:p>
    <w:p>
      <w:pPr>
        <w:spacing w:after="0" w:line="7" w:lineRule="exact"/>
        <w:rPr>
          <w:sz w:val="20"/>
          <w:szCs w:val="20"/>
          <w:color w:val="auto"/>
        </w:rPr>
      </w:pPr>
    </w:p>
    <w:p>
      <w:pPr>
        <w:ind w:right="6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13 </w:t>
      </w:r>
      <w:r>
        <w:rPr>
          <w:rFonts w:ascii="Times New Roman" w:cs="Times New Roman" w:eastAsia="Times New Roman" w:hAnsi="Times New Roman"/>
          <w:sz w:val="24"/>
          <w:szCs w:val="24"/>
          <w:color w:val="auto"/>
        </w:rPr>
        <w:t>– (1) Bu Yönergede hüküm bulunmayan hallerde ilgili diğer mevzuat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hükümleri uygulanır.</w:t>
      </w:r>
    </w:p>
    <w:p>
      <w:pPr>
        <w:spacing w:after="0" w:line="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14 – </w:t>
      </w:r>
      <w:r>
        <w:rPr>
          <w:rFonts w:ascii="Times New Roman" w:cs="Times New Roman" w:eastAsia="Times New Roman" w:hAnsi="Times New Roman"/>
          <w:sz w:val="24"/>
          <w:szCs w:val="24"/>
          <w:color w:val="auto"/>
        </w:rPr>
        <w:t>(1) Bu Yönerge, yayım tarihinde yürürlüğe girer.</w:t>
      </w:r>
    </w:p>
    <w:p>
      <w:pPr>
        <w:spacing w:after="0" w:line="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7" w:lineRule="exact"/>
        <w:rPr>
          <w:sz w:val="20"/>
          <w:szCs w:val="20"/>
          <w:color w:val="auto"/>
        </w:rPr>
      </w:pPr>
    </w:p>
    <w:p>
      <w:pPr>
        <w:ind w:right="6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15 – </w:t>
      </w:r>
      <w:r>
        <w:rPr>
          <w:rFonts w:ascii="Times New Roman" w:cs="Times New Roman" w:eastAsia="Times New Roman" w:hAnsi="Times New Roman"/>
          <w:sz w:val="24"/>
          <w:szCs w:val="24"/>
          <w:color w:val="auto"/>
        </w:rPr>
        <w:t>(1) Bu Yönerge hükümlerini, Türk Hava Kurumu Üniversitesi Rektörü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tbl>
      <w:tblPr>
        <w:tblLayout w:type="fixed"/>
        <w:tblInd w:w="4500" w:type="dxa"/>
        <w:tblCellMar>
          <w:top w:w="0" w:type="dxa"/>
          <w:left w:w="0" w:type="dxa"/>
          <w:bottom w:w="0" w:type="dxa"/>
          <w:right w:w="0" w:type="dxa"/>
        </w:tblCellMar>
      </w:tblPr>
      <w:tr>
        <w:trPr>
          <w:trHeight w:val="269"/>
        </w:trPr>
        <w:tc>
          <w:tcPr>
            <w:tcW w:w="720" w:type="dxa"/>
            <w:vAlign w:val="bottom"/>
          </w:tcPr>
          <w:p>
            <w:pPr>
              <w:jc w:val="right"/>
              <w:ind w:right="510"/>
              <w:spacing w:after="0"/>
              <w:rPr>
                <w:sz w:val="20"/>
                <w:szCs w:val="20"/>
                <w:color w:val="auto"/>
              </w:rPr>
            </w:pPr>
            <w:r>
              <w:rPr>
                <w:rFonts w:ascii="Calibri" w:cs="Calibri" w:eastAsia="Calibri" w:hAnsi="Calibri"/>
                <w:sz w:val="22"/>
                <w:szCs w:val="22"/>
                <w:color w:val="auto"/>
                <w:w w:val="71"/>
              </w:rPr>
              <w:t>3</w:t>
            </w:r>
          </w:p>
        </w:tc>
        <w:tc>
          <w:tcPr>
            <w:tcW w:w="3900" w:type="dxa"/>
            <w:vAlign w:val="bottom"/>
          </w:tcPr>
          <w:p>
            <w:pPr>
              <w:jc w:val="right"/>
              <w:spacing w:after="0"/>
              <w:rPr>
                <w:sz w:val="20"/>
                <w:szCs w:val="20"/>
                <w:color w:val="auto"/>
              </w:rPr>
            </w:pPr>
            <w:r>
              <w:rPr>
                <w:rFonts w:ascii="Arial" w:cs="Arial" w:eastAsia="Arial" w:hAnsi="Arial"/>
                <w:sz w:val="16"/>
                <w:szCs w:val="16"/>
                <w:color w:val="auto"/>
              </w:rPr>
              <w:t>Senato K.T. / No: 09.10.2012/33</w:t>
            </w:r>
          </w:p>
        </w:tc>
      </w:tr>
      <w:tr>
        <w:trPr>
          <w:trHeight w:val="187"/>
        </w:trPr>
        <w:tc>
          <w:tcPr>
            <w:tcW w:w="720" w:type="dxa"/>
            <w:vAlign w:val="bottom"/>
          </w:tcPr>
          <w:p>
            <w:pPr>
              <w:spacing w:after="0"/>
              <w:rPr>
                <w:sz w:val="16"/>
                <w:szCs w:val="16"/>
                <w:color w:val="auto"/>
              </w:rPr>
            </w:pPr>
          </w:p>
        </w:tc>
        <w:tc>
          <w:tcPr>
            <w:tcW w:w="3900" w:type="dxa"/>
            <w:vAlign w:val="bottom"/>
          </w:tcPr>
          <w:p>
            <w:pPr>
              <w:jc w:val="right"/>
              <w:spacing w:after="0"/>
              <w:rPr>
                <w:sz w:val="20"/>
                <w:szCs w:val="20"/>
                <w:color w:val="auto"/>
              </w:rPr>
            </w:pPr>
            <w:r>
              <w:rPr>
                <w:rFonts w:ascii="Arial" w:cs="Arial" w:eastAsia="Arial" w:hAnsi="Arial"/>
                <w:sz w:val="16"/>
                <w:szCs w:val="16"/>
                <w:color w:val="auto"/>
              </w:rPr>
              <w:t>Revizyon Senato K.T. / No: 07.04.2017/11</w:t>
            </w:r>
          </w:p>
        </w:tc>
      </w:tr>
    </w:tbl>
    <w:p>
      <w:pPr>
        <w:spacing w:after="0" w:line="1" w:lineRule="exact"/>
        <w:rPr>
          <w:sz w:val="20"/>
          <w:szCs w:val="20"/>
          <w:color w:val="auto"/>
        </w:rPr>
      </w:pPr>
    </w:p>
    <w:sectPr>
      <w:pgSz w:w="11900" w:h="16838" w:orient="portrait"/>
      <w:cols w:equalWidth="0" w:num="1">
        <w:col w:w="9120"/>
      </w:cols>
      <w:pgMar w:left="1420" w:top="1440" w:right="1366" w:bottom="68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1)"/>
      <w:numFmt w:val="lowerLetter"/>
      <w:start w:val="1"/>
    </w:lvl>
  </w:abstractNum>
  <w:abstractNum w:abstractNumId="2">
    <w:nsid w:val="507ED7AB"/>
    <w:multiLevelType w:val="hybridMultilevel"/>
    <w:lvl w:ilvl="0">
      <w:lvlJc w:val="left"/>
      <w:lvlText w:val="%1"/>
      <w:numFmt w:val="lowerLetter"/>
      <w:start w:val="1"/>
    </w:lvl>
    <w:lvl w:ilvl="1">
      <w:lvlJc w:val="left"/>
      <w:lvlText w:val="%2)"/>
      <w:numFmt w:val="lowerLetter"/>
      <w:start w:val="2"/>
    </w:lvl>
  </w:abstractNum>
  <w:abstractNum w:abstractNumId="3">
    <w:nsid w:val="2EB141F2"/>
    <w:multiLevelType w:val="hybridMultilevel"/>
    <w:lvl w:ilvl="0">
      <w:lvlJc w:val="left"/>
      <w:lvlText w:val="%1)"/>
      <w:numFmt w:val="lowerLetter"/>
      <w:start w:val="1"/>
    </w:lvl>
    <w:lvl w:ilvl="1">
      <w:lvlJc w:val="left"/>
      <w:lvlText w:val="%2"/>
      <w:numFmt w:val="lowerLetter"/>
      <w:start w:val="1"/>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1"/>
    </w:lvl>
  </w:abstractNum>
  <w:abstractNum w:abstractNumId="6">
    <w:nsid w:val="7545E146"/>
    <w:multiLevelType w:val="hybridMultilevel"/>
    <w:lvl w:ilvl="0">
      <w:lvlJc w:val="left"/>
      <w:lvlText w:val="(%1)"/>
      <w:numFmt w:val="decimal"/>
      <w:start w:val="2"/>
    </w:lvl>
  </w:abstractNum>
  <w:abstractNum w:abstractNumId="7">
    <w:nsid w:val="515F007C"/>
    <w:multiLevelType w:val="hybridMultilevel"/>
    <w:lvl w:ilvl="0">
      <w:lvlJc w:val="left"/>
      <w:lvlText w:val="%1)"/>
      <w:numFmt w:val="lowerLetter"/>
      <w:start w:val="1"/>
    </w:lvl>
  </w:abstractNum>
  <w:abstractNum w:abstractNumId="8">
    <w:nsid w:val="5BD062C2"/>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2020-12-14T11:50:41Z</dcterms:created>
  <dcterms:modified xsi:type="dcterms:W3CDTF">2020-12-14T11:50:41Z</dcterms:modified>
</cp:coreProperties>
</file>